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F0A3" w14:textId="77777777" w:rsidR="00C765BA" w:rsidRDefault="00C765BA">
      <w:pPr>
        <w:rPr>
          <w:rFonts w:ascii="Arial" w:hAnsi="Arial" w:cs="Times New Roman"/>
          <w:sz w:val="22"/>
          <w:szCs w:val="22"/>
        </w:rPr>
      </w:pPr>
    </w:p>
    <w:p w14:paraId="0B956560" w14:textId="6A16AAD4" w:rsidR="00C765BA" w:rsidRDefault="00000000">
      <w:pPr>
        <w:pStyle w:val="Standard"/>
        <w:tabs>
          <w:tab w:val="left" w:pos="9735"/>
          <w:tab w:val="left" w:pos="10470"/>
        </w:tabs>
        <w:snapToGrid w:val="0"/>
        <w:jc w:val="right"/>
        <w:rPr>
          <w:rFonts w:ascii="Arial" w:hAnsi="Arial"/>
          <w:sz w:val="22"/>
          <w:szCs w:val="22"/>
        </w:rPr>
      </w:pPr>
      <w:bookmarkStart w:id="0" w:name="_Hlk203995801"/>
      <w:bookmarkEnd w:id="0"/>
      <w:r>
        <w:rPr>
          <w:rFonts w:ascii="Arial" w:hAnsi="Arial" w:cs="Times New Roman"/>
          <w:i/>
          <w:iCs/>
          <w:sz w:val="22"/>
          <w:szCs w:val="22"/>
        </w:rPr>
        <w:t xml:space="preserve">Załącznik do Zarządzenia Nr </w:t>
      </w:r>
      <w:r w:rsidR="001E494B">
        <w:rPr>
          <w:rFonts w:ascii="Arial" w:hAnsi="Arial" w:cs="Times New Roman"/>
          <w:i/>
          <w:iCs/>
          <w:sz w:val="22"/>
          <w:szCs w:val="22"/>
        </w:rPr>
        <w:t>774/V/2026</w:t>
      </w:r>
    </w:p>
    <w:p w14:paraId="7D5EC446" w14:textId="0BC01057" w:rsidR="00C765BA" w:rsidRDefault="00000000">
      <w:pPr>
        <w:pStyle w:val="Nagwek1"/>
        <w:tabs>
          <w:tab w:val="left" w:pos="9735"/>
          <w:tab w:val="left" w:pos="10470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" w:hAnsi="Arial" w:cs="Times New Roman"/>
          <w:i/>
          <w:iCs/>
          <w:sz w:val="22"/>
          <w:szCs w:val="22"/>
        </w:rPr>
        <w:t xml:space="preserve">Burmistrza Gołdapi z </w:t>
      </w:r>
      <w:r w:rsidR="001E494B">
        <w:rPr>
          <w:rFonts w:ascii="Arial" w:hAnsi="Arial" w:cs="Times New Roman"/>
          <w:i/>
          <w:iCs/>
          <w:sz w:val="22"/>
          <w:szCs w:val="22"/>
        </w:rPr>
        <w:t>8 maja 2026 r.</w:t>
      </w:r>
    </w:p>
    <w:p w14:paraId="379CBEAC" w14:textId="77777777" w:rsidR="00C765BA" w:rsidRDefault="00000000">
      <w:pPr>
        <w:pStyle w:val="Standard"/>
        <w:tabs>
          <w:tab w:val="left" w:pos="9735"/>
          <w:tab w:val="left" w:pos="10470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14:paraId="134B8F19" w14:textId="77777777" w:rsidR="00C765BA" w:rsidRDefault="00000000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 xml:space="preserve">BURMISTRZ  GOŁDAPI  </w:t>
      </w:r>
    </w:p>
    <w:p w14:paraId="54BD77EA" w14:textId="77777777" w:rsidR="00C765BA" w:rsidRDefault="00000000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PODAJE  DO  PUBLICZNEJ  WIADOMOŚCI  WYKAZ  NIERUCHOMOŚCI  PRZEZNACZONYCH</w:t>
      </w:r>
    </w:p>
    <w:p w14:paraId="03AE30F1" w14:textId="77777777" w:rsidR="00C765BA" w:rsidRDefault="00000000">
      <w:pPr>
        <w:pStyle w:val="Standard"/>
        <w:spacing w:line="360" w:lineRule="auto"/>
        <w:jc w:val="center"/>
        <w:rPr>
          <w:rStyle w:val="A0"/>
          <w:rFonts w:ascii="Arial" w:hAnsi="Arial" w:cs="Times New Roman"/>
          <w:b/>
          <w:sz w:val="22"/>
          <w:szCs w:val="22"/>
        </w:rPr>
      </w:pPr>
      <w:r>
        <w:rPr>
          <w:rStyle w:val="A0"/>
          <w:rFonts w:ascii="Arial" w:hAnsi="Arial" w:cs="Times New Roman"/>
          <w:b/>
          <w:sz w:val="22"/>
          <w:szCs w:val="22"/>
        </w:rPr>
        <w:t>DO UŻYCZENIA</w:t>
      </w:r>
    </w:p>
    <w:p w14:paraId="619B62AE" w14:textId="77777777" w:rsidR="00E46A9D" w:rsidRDefault="00E46A9D">
      <w:pPr>
        <w:pStyle w:val="Standard"/>
        <w:spacing w:line="360" w:lineRule="auto"/>
        <w:jc w:val="center"/>
      </w:pPr>
    </w:p>
    <w:tbl>
      <w:tblPr>
        <w:tblW w:w="15600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2329"/>
        <w:gridCol w:w="3880"/>
        <w:gridCol w:w="2044"/>
        <w:gridCol w:w="1466"/>
        <w:gridCol w:w="2866"/>
        <w:gridCol w:w="2632"/>
      </w:tblGrid>
      <w:tr w:rsidR="00C765BA" w14:paraId="33A583FA" w14:textId="77777777">
        <w:trPr>
          <w:trHeight w:val="18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345D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B113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DED9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0679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090D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214C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37D3" w14:textId="77777777" w:rsidR="00C765BA" w:rsidRDefault="00000000">
            <w:pPr>
              <w:pStyle w:val="Tekstpodstawowy21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7</w:t>
            </w:r>
          </w:p>
        </w:tc>
      </w:tr>
      <w:tr w:rsidR="00C765BA" w14:paraId="73D5C22B" w14:textId="77777777">
        <w:trPr>
          <w:trHeight w:val="67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DE11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209E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Oznaczenie nieruchomości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43B5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Opis i przeznaczenie nieruchomości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6FC4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Powierzchnia użyczanego gruntu</w:t>
            </w:r>
          </w:p>
          <w:p w14:paraId="470E732A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(m</w:t>
            </w:r>
            <w:r>
              <w:rPr>
                <w:rFonts w:ascii="Arial" w:hAnsi="Arial" w:cs="Times New Roman"/>
                <w:b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E9B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Okres użyczenia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4CD0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Cel użyczenia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8C7F" w14:textId="77777777" w:rsidR="00C765BA" w:rsidRDefault="00000000">
            <w:pPr>
              <w:pStyle w:val="Tekstpodstawowy21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Forma i pomiot oddania nieruchomości</w:t>
            </w:r>
          </w:p>
        </w:tc>
      </w:tr>
      <w:tr w:rsidR="00C765BA" w14:paraId="1848EADF" w14:textId="77777777">
        <w:trPr>
          <w:trHeight w:val="208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EA3F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7230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Działka oznaczona w ewidencji gruntów  numerem</w:t>
            </w: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 878/19</w:t>
            </w:r>
          </w:p>
          <w:p w14:paraId="1B8A8C95" w14:textId="77777777" w:rsidR="00C765BA" w:rsidRDefault="00000000">
            <w:pPr>
              <w:pStyle w:val="Standard"/>
              <w:snapToGrid w:val="0"/>
              <w:jc w:val="center"/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o pow. </w:t>
            </w:r>
            <w:r>
              <w:rPr>
                <w:rFonts w:ascii="arial;helvetica;sans-serif" w:hAnsi="arial;helvetica;sans-serif"/>
                <w:color w:val="000000"/>
                <w:sz w:val="20"/>
              </w:rPr>
              <w:t>0,0722</w:t>
            </w:r>
            <w:r>
              <w:t xml:space="preserve"> </w:t>
            </w: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ha</w:t>
            </w:r>
          </w:p>
          <w:p w14:paraId="2D3FEE3F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położona w Gołdapi przy ul. Partyzantów, w obrębie 0002 Gołdap 2</w:t>
            </w:r>
          </w:p>
          <w:p w14:paraId="08A3B09F" w14:textId="34ACA03A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KW </w:t>
            </w:r>
            <w:r w:rsidR="00E46A9D" w:rsidRPr="00E46A9D"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OL1C/00029319/9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6D0D" w14:textId="77777777" w:rsidR="00C765BA" w:rsidRDefault="00000000">
            <w:pPr>
              <w:pStyle w:val="Tekstpodstawowy21"/>
              <w:snapToGrid w:val="0"/>
              <w:rPr>
                <w:color w:val="000000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Nieruchomość niezabudowana</w:t>
            </w:r>
          </w:p>
          <w:p w14:paraId="5353426B" w14:textId="77777777" w:rsidR="00C765BA" w:rsidRDefault="00000000">
            <w:pPr>
              <w:pStyle w:val="Tekstpodstawowy21"/>
              <w:snapToGrid w:val="0"/>
              <w:rPr>
                <w:rFonts w:ascii="Arial" w:hAnsi="Arial" w:cs="Times New Roman"/>
                <w:color w:val="FF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Powyższy teren nie jest objęty miejscowym szczegółowym planem zagospodarowania przestrzennego. </w:t>
            </w:r>
            <w:r w:rsidRPr="00E46A9D">
              <w:rPr>
                <w:rFonts w:ascii="Arial" w:hAnsi="Arial" w:cs="Times New Roman"/>
                <w:sz w:val="22"/>
                <w:szCs w:val="22"/>
              </w:rPr>
              <w:t>Zgodnie z ewidencją gruntów są to inne tereny komunikacyjne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F3A4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10,00 m</w:t>
            </w:r>
            <w:r>
              <w:rPr>
                <w:rFonts w:ascii="Arial" w:hAnsi="Arial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9C37" w14:textId="77777777" w:rsidR="00C765BA" w:rsidRDefault="00000000">
            <w:pPr>
              <w:pStyle w:val="Textbodyindent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Czas nieokreślony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C852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Urządzenie miejsca na ustawienie pojemników na odpady komunalne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9934" w14:textId="42F52A7D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Umowa użyczenia na rzecz: właściciela nieruchomości </w:t>
            </w:r>
            <w:r w:rsidR="00966722">
              <w:rPr>
                <w:rFonts w:ascii="Arial" w:hAnsi="Arial" w:cs="Times New Roman"/>
                <w:sz w:val="22"/>
                <w:szCs w:val="22"/>
              </w:rPr>
              <w:t xml:space="preserve">oznaczonej </w:t>
            </w:r>
            <w:r w:rsidR="00C108FF">
              <w:rPr>
                <w:rFonts w:ascii="Arial" w:hAnsi="Arial" w:cs="Times New Roman"/>
                <w:sz w:val="22"/>
                <w:szCs w:val="22"/>
              </w:rPr>
              <w:t>nr 1838 obręb 0002 Gołdap 2</w:t>
            </w:r>
            <w:r w:rsidR="00966722">
              <w:rPr>
                <w:rFonts w:ascii="Arial" w:hAnsi="Arial" w:cs="Times New Roman"/>
                <w:sz w:val="22"/>
                <w:szCs w:val="22"/>
              </w:rPr>
              <w:t>, położonej przy ul. Plac Zwycięstwa</w:t>
            </w:r>
          </w:p>
          <w:p w14:paraId="34AE2833" w14:textId="3C106B28" w:rsidR="00C765BA" w:rsidRDefault="00C765BA">
            <w:pPr>
              <w:pStyle w:val="Standard"/>
              <w:snapToGrid w:val="0"/>
              <w:jc w:val="center"/>
              <w:rPr>
                <w:color w:val="FF0000"/>
              </w:rPr>
            </w:pPr>
          </w:p>
        </w:tc>
      </w:tr>
      <w:tr w:rsidR="00C765BA" w14:paraId="5C7D1729" w14:textId="77777777">
        <w:trPr>
          <w:trHeight w:val="208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2548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24CE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Działka oznaczona w ewidencji gruntów  numerem</w:t>
            </w: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 878/19</w:t>
            </w:r>
          </w:p>
          <w:p w14:paraId="49A6D105" w14:textId="77777777" w:rsidR="00C765BA" w:rsidRDefault="00000000">
            <w:pPr>
              <w:pStyle w:val="Standard"/>
              <w:snapToGrid w:val="0"/>
              <w:jc w:val="center"/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o pow. </w:t>
            </w:r>
            <w:r>
              <w:rPr>
                <w:rFonts w:ascii="arial;helvetica;sans-serif" w:hAnsi="arial;helvetica;sans-serif"/>
                <w:color w:val="000000"/>
                <w:sz w:val="20"/>
              </w:rPr>
              <w:t>0,0722</w:t>
            </w:r>
            <w:r>
              <w:t xml:space="preserve"> </w:t>
            </w: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ha</w:t>
            </w:r>
          </w:p>
          <w:p w14:paraId="1FAD9305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położona w Gołdapi przy ul. Partyzantów, w obrębie 0002 Gołdap 2</w:t>
            </w:r>
          </w:p>
          <w:p w14:paraId="60EDF75D" w14:textId="473A1FD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KW </w:t>
            </w:r>
            <w:r w:rsidR="00E46A9D" w:rsidRPr="00E46A9D"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OL1C/00029319/9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8EBE" w14:textId="77777777" w:rsidR="00C765BA" w:rsidRDefault="00000000">
            <w:pPr>
              <w:pStyle w:val="Tekstpodstawowy21"/>
              <w:snapToGrid w:val="0"/>
              <w:rPr>
                <w:color w:val="000000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Nieruchomość niezabudowana</w:t>
            </w:r>
          </w:p>
          <w:p w14:paraId="026BCE58" w14:textId="77777777" w:rsidR="00C765BA" w:rsidRDefault="00000000">
            <w:pPr>
              <w:pStyle w:val="Tekstpodstawowy21"/>
              <w:snapToGrid w:val="0"/>
              <w:rPr>
                <w:rFonts w:ascii="Arial" w:hAnsi="Arial" w:cs="Times New Roman"/>
                <w:color w:val="FF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Powyższy teren nie jest objęty miejscowym szczegółowym planem zagospodarowania przestrzennego.</w:t>
            </w:r>
            <w:r>
              <w:rPr>
                <w:rFonts w:ascii="Arial" w:hAnsi="Arial" w:cs="Times New Roman"/>
                <w:color w:val="FF0000"/>
                <w:sz w:val="22"/>
                <w:szCs w:val="22"/>
              </w:rPr>
              <w:t xml:space="preserve"> </w:t>
            </w:r>
            <w:r w:rsidRPr="00E46A9D">
              <w:rPr>
                <w:rFonts w:ascii="Arial" w:hAnsi="Arial" w:cs="Times New Roman"/>
                <w:sz w:val="22"/>
                <w:szCs w:val="22"/>
              </w:rPr>
              <w:t>Zgodnie z ewidencją gruntów są to inne tereny komunikacyjne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A5BC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3,00 m</w:t>
            </w:r>
            <w:r>
              <w:rPr>
                <w:rFonts w:ascii="Arial" w:hAnsi="Arial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1E19" w14:textId="77777777" w:rsidR="00C765BA" w:rsidRDefault="00000000">
            <w:pPr>
              <w:pStyle w:val="Textbodyindent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Czas nieokreślony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9F23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Urządzenie miejsca na ustawienie pojemników na odpady komunalne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FDE0" w14:textId="3A1EF93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Umowa użyczenia na rzecz: właściciela</w:t>
            </w:r>
            <w:r w:rsidR="00966722">
              <w:rPr>
                <w:rFonts w:ascii="Arial" w:hAnsi="Arial" w:cs="Times New Roman"/>
                <w:sz w:val="22"/>
                <w:szCs w:val="22"/>
              </w:rPr>
              <w:t xml:space="preserve"> nieruchomości oznaczonej </w:t>
            </w:r>
            <w:r w:rsidR="00C108FF">
              <w:rPr>
                <w:rFonts w:ascii="Arial" w:hAnsi="Arial" w:cs="Times New Roman"/>
                <w:sz w:val="22"/>
                <w:szCs w:val="22"/>
              </w:rPr>
              <w:t xml:space="preserve"> nr </w:t>
            </w:r>
            <w:r>
              <w:rPr>
                <w:rFonts w:ascii="Arial" w:hAnsi="Arial" w:cs="Times New Roman"/>
                <w:sz w:val="22"/>
                <w:szCs w:val="22"/>
              </w:rPr>
              <w:t xml:space="preserve"> </w:t>
            </w:r>
            <w:r w:rsidR="00C108FF">
              <w:rPr>
                <w:rFonts w:ascii="Arial" w:hAnsi="Arial" w:cs="Times New Roman"/>
                <w:sz w:val="22"/>
                <w:szCs w:val="22"/>
              </w:rPr>
              <w:t>878/1 i 878/2 obręb 0002 Gołdap 2</w:t>
            </w:r>
            <w:r w:rsidR="00966722">
              <w:rPr>
                <w:rFonts w:ascii="Arial" w:hAnsi="Arial" w:cs="Times New Roman"/>
                <w:sz w:val="22"/>
                <w:szCs w:val="22"/>
              </w:rPr>
              <w:t>, położonych przy ul. Partyzantów</w:t>
            </w:r>
          </w:p>
          <w:p w14:paraId="5E862D1A" w14:textId="5CEBB067" w:rsidR="00C765BA" w:rsidRDefault="00C765BA">
            <w:pPr>
              <w:pStyle w:val="Standard"/>
              <w:snapToGrid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C765BA" w14:paraId="092738C5" w14:textId="77777777">
        <w:trPr>
          <w:trHeight w:val="208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5C22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4ED4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Działka oznaczona w ewidencji gruntów  numerem</w:t>
            </w: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 878/19</w:t>
            </w:r>
          </w:p>
          <w:p w14:paraId="1E4A09FD" w14:textId="77777777" w:rsidR="00C765BA" w:rsidRDefault="00000000">
            <w:pPr>
              <w:pStyle w:val="Standard"/>
              <w:snapToGrid w:val="0"/>
              <w:jc w:val="center"/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o pow. </w:t>
            </w:r>
            <w:r>
              <w:rPr>
                <w:rFonts w:ascii="arial;helvetica;sans-serif" w:hAnsi="arial;helvetica;sans-serif"/>
                <w:color w:val="000000"/>
                <w:sz w:val="20"/>
              </w:rPr>
              <w:t>0,0722</w:t>
            </w:r>
            <w:r>
              <w:t xml:space="preserve"> </w:t>
            </w: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ha</w:t>
            </w:r>
          </w:p>
          <w:p w14:paraId="196DE2C3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położona w Gołdapi przy ul. Partyzantów, w obrębie 0002 Gołdap 2</w:t>
            </w:r>
          </w:p>
          <w:p w14:paraId="00EEB0E0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KW </w:t>
            </w:r>
            <w:r w:rsidR="00E46A9D" w:rsidRPr="00E46A9D"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OL1C/00029319/9</w:t>
            </w:r>
          </w:p>
          <w:p w14:paraId="27A120FE" w14:textId="5939CEE0" w:rsidR="0032100C" w:rsidRDefault="0032100C" w:rsidP="0032100C">
            <w:pPr>
              <w:pStyle w:val="Standard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750E" w14:textId="77777777" w:rsidR="00C765BA" w:rsidRDefault="00000000">
            <w:pPr>
              <w:pStyle w:val="Tekstpodstawowy21"/>
              <w:snapToGrid w:val="0"/>
              <w:rPr>
                <w:color w:val="000000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Nieruchomość niezabudowana</w:t>
            </w:r>
          </w:p>
          <w:p w14:paraId="7A46908B" w14:textId="77777777" w:rsidR="00C765BA" w:rsidRDefault="00000000">
            <w:pPr>
              <w:pStyle w:val="Tekstpodstawowy21"/>
              <w:snapToGrid w:val="0"/>
              <w:rPr>
                <w:rFonts w:ascii="Arial" w:hAnsi="Arial" w:cs="Times New Roman"/>
                <w:color w:val="FF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Powyższy teren nie jest objęty miejscowym szczegółowym planem zagospodarowania przestrzennego.</w:t>
            </w:r>
            <w:r>
              <w:rPr>
                <w:rFonts w:ascii="Arial" w:hAnsi="Arial" w:cs="Times New Roman"/>
                <w:color w:val="FF0000"/>
                <w:sz w:val="22"/>
                <w:szCs w:val="22"/>
              </w:rPr>
              <w:t xml:space="preserve"> </w:t>
            </w:r>
            <w:r w:rsidRPr="00E46A9D">
              <w:rPr>
                <w:rFonts w:ascii="Arial" w:hAnsi="Arial" w:cs="Times New Roman"/>
                <w:sz w:val="22"/>
                <w:szCs w:val="22"/>
              </w:rPr>
              <w:t>Zgodnie z ewidencją gruntów są to inne tereny komunikacyjne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2B72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5,00 m</w:t>
            </w:r>
            <w:r>
              <w:rPr>
                <w:rFonts w:ascii="Arial" w:hAnsi="Arial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6D23" w14:textId="77777777" w:rsidR="00C765BA" w:rsidRDefault="00000000">
            <w:pPr>
              <w:pStyle w:val="Textbodyindent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Czas nieokreślony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9E73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Urządzenie miejsca na ustawienie pojemników na odpady komunalne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759C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Umowa użyczenia na rzecz:</w:t>
            </w:r>
          </w:p>
          <w:p w14:paraId="5A79AE79" w14:textId="5FF1FAF1" w:rsidR="00C765BA" w:rsidRDefault="00000000">
            <w:pPr>
              <w:pStyle w:val="Standard"/>
              <w:snapToGrid w:val="0"/>
              <w:jc w:val="center"/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pl-PL" w:bidi="ar-SA"/>
              </w:rPr>
              <w:t>AleCiacho</w:t>
            </w:r>
            <w:proofErr w:type="spellEnd"/>
          </w:p>
        </w:tc>
      </w:tr>
      <w:tr w:rsidR="00C765BA" w14:paraId="1D70E26B" w14:textId="77777777">
        <w:trPr>
          <w:trHeight w:val="208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D712" w14:textId="77777777" w:rsidR="00611E31" w:rsidRDefault="00611E31">
            <w:pPr>
              <w:pStyle w:val="Zawartotabeliuser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5029C3A1" w14:textId="77777777" w:rsidR="00611E31" w:rsidRDefault="00611E31">
            <w:pPr>
              <w:pStyle w:val="Zawartotabeliuser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40B984C1" w14:textId="3221A7A9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0904" w14:textId="77777777" w:rsidR="00611E31" w:rsidRDefault="00611E31">
            <w:pPr>
              <w:pStyle w:val="Standard"/>
              <w:snapToGrid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  <w:p w14:paraId="3673E00D" w14:textId="77777777" w:rsidR="00611E31" w:rsidRDefault="00611E31">
            <w:pPr>
              <w:pStyle w:val="Standard"/>
              <w:snapToGrid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  <w:p w14:paraId="2826B9E1" w14:textId="6D42CB08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Działka oznaczona w ewidencji gruntów  numerem</w:t>
            </w: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 878/19</w:t>
            </w:r>
          </w:p>
          <w:p w14:paraId="70B5B770" w14:textId="77777777" w:rsidR="00C765BA" w:rsidRDefault="00000000">
            <w:pPr>
              <w:pStyle w:val="Standard"/>
              <w:snapToGrid w:val="0"/>
              <w:jc w:val="center"/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o pow. </w:t>
            </w:r>
            <w:r>
              <w:rPr>
                <w:rFonts w:ascii="arial;helvetica;sans-serif" w:hAnsi="arial;helvetica;sans-serif"/>
                <w:color w:val="000000"/>
                <w:sz w:val="20"/>
              </w:rPr>
              <w:t>0,0722</w:t>
            </w:r>
            <w:r>
              <w:t xml:space="preserve"> </w:t>
            </w: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ha</w:t>
            </w:r>
          </w:p>
          <w:p w14:paraId="064B4791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położona w Gołdapi przy ul. Partyzantów, w obrębie 0002 Gołdap 2</w:t>
            </w:r>
          </w:p>
          <w:p w14:paraId="11052D2B" w14:textId="5F9998C0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KW </w:t>
            </w:r>
            <w:r w:rsidR="00E46A9D" w:rsidRPr="00E46A9D"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OL1C/00029319/9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7389" w14:textId="77777777" w:rsidR="00C765BA" w:rsidRDefault="00000000">
            <w:pPr>
              <w:pStyle w:val="Tekstpodstawowy21"/>
              <w:snapToGrid w:val="0"/>
              <w:rPr>
                <w:color w:val="000000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Nieruchomość niezabudowana</w:t>
            </w:r>
          </w:p>
          <w:p w14:paraId="093708FE" w14:textId="77777777" w:rsidR="00C765BA" w:rsidRDefault="00000000">
            <w:pPr>
              <w:pStyle w:val="Tekstpodstawowy21"/>
              <w:snapToGrid w:val="0"/>
              <w:rPr>
                <w:rFonts w:ascii="Arial" w:hAnsi="Arial" w:cs="Times New Roman"/>
                <w:color w:val="FF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Powyższy teren nie jest objęty miejscowym szczegółowym planem zagospodarowania przestrzennego.</w:t>
            </w:r>
            <w:r>
              <w:rPr>
                <w:rFonts w:ascii="Arial" w:hAnsi="Arial" w:cs="Times New Roman"/>
                <w:color w:val="FF0000"/>
                <w:sz w:val="22"/>
                <w:szCs w:val="22"/>
              </w:rPr>
              <w:t xml:space="preserve"> </w:t>
            </w:r>
            <w:r w:rsidRPr="00E46A9D">
              <w:rPr>
                <w:rFonts w:ascii="Arial" w:hAnsi="Arial" w:cs="Times New Roman"/>
                <w:sz w:val="22"/>
                <w:szCs w:val="22"/>
              </w:rPr>
              <w:t>Zgodnie z ewidencją gruntów są to inne tereny komunikacyjne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B0EC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5,00 m</w:t>
            </w:r>
            <w:r>
              <w:rPr>
                <w:rFonts w:ascii="Arial" w:hAnsi="Arial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0D7F" w14:textId="77777777" w:rsidR="00C765BA" w:rsidRDefault="00000000">
            <w:pPr>
              <w:pStyle w:val="Textbodyindent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Czas nieokreślony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B114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Urządzenie miejsca na ustawienie pojemników na odpady komunalne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3457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Umowa użyczenia na rzecz:</w:t>
            </w:r>
          </w:p>
          <w:p w14:paraId="44B4D2FC" w14:textId="6D8894A1" w:rsidR="00C765BA" w:rsidRDefault="00000000">
            <w:pPr>
              <w:pStyle w:val="Standard"/>
              <w:snapToGrid w:val="0"/>
              <w:jc w:val="center"/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pl-PL" w:bidi="ar-SA"/>
              </w:rPr>
              <w:t>P.W.</w:t>
            </w:r>
            <w:r w:rsidR="00553C2B"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pl-PL" w:bidi="ar-SA"/>
              </w:rPr>
              <w:t>”</w:t>
            </w:r>
            <w:proofErr w:type="spellStart"/>
            <w:r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pl-PL" w:bidi="ar-SA"/>
              </w:rPr>
              <w:t>Edar</w:t>
            </w:r>
            <w:proofErr w:type="spellEnd"/>
            <w:r w:rsidR="00553C2B"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pl-PL" w:bidi="ar-SA"/>
              </w:rPr>
              <w:t>”</w:t>
            </w:r>
          </w:p>
          <w:p w14:paraId="680EDE3E" w14:textId="77777777" w:rsidR="00C765BA" w:rsidRDefault="00C765BA">
            <w:pPr>
              <w:pStyle w:val="Standard"/>
              <w:snapToGrid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</w:tbl>
    <w:p w14:paraId="0EAAD9F2" w14:textId="77777777" w:rsidR="00C765BA" w:rsidRDefault="00C765BA"/>
    <w:p w14:paraId="4B77DFCC" w14:textId="77777777" w:rsidR="00C765BA" w:rsidRDefault="00C765BA">
      <w:pPr>
        <w:tabs>
          <w:tab w:val="left" w:pos="285"/>
        </w:tabs>
        <w:jc w:val="both"/>
        <w:rPr>
          <w:rFonts w:ascii="Arial" w:hAnsi="Arial" w:cs="Times New Roman"/>
          <w:sz w:val="20"/>
          <w:szCs w:val="20"/>
        </w:rPr>
      </w:pPr>
    </w:p>
    <w:p w14:paraId="50D16881" w14:textId="77777777" w:rsidR="00C765BA" w:rsidRDefault="00000000" w:rsidP="00E46A9D">
      <w:pPr>
        <w:pStyle w:val="Textbody"/>
        <w:tabs>
          <w:tab w:val="left" w:pos="267"/>
        </w:tabs>
        <w:ind w:left="-18"/>
        <w:rPr>
          <w:sz w:val="20"/>
          <w:szCs w:val="20"/>
        </w:rPr>
      </w:pPr>
      <w:bookmarkStart w:id="1" w:name="_Hlk203995801_kopia_1"/>
      <w:bookmarkEnd w:id="1"/>
      <w:r>
        <w:rPr>
          <w:rFonts w:ascii="Arial" w:hAnsi="Arial" w:cs="Times New Roman"/>
          <w:sz w:val="20"/>
          <w:szCs w:val="20"/>
        </w:rPr>
        <w:t>Wykaz wywiesza się na okres 21 dni:</w:t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</w:p>
    <w:p w14:paraId="0CA2FD13" w14:textId="4B2A9A88" w:rsidR="00C765BA" w:rsidRDefault="00000000" w:rsidP="00E46A9D">
      <w:pPr>
        <w:pStyle w:val="Textbody"/>
        <w:tabs>
          <w:tab w:val="left" w:pos="267"/>
        </w:tabs>
        <w:ind w:left="-18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Wywieszono na tablicy ogłoszeń: </w:t>
      </w:r>
      <w:r w:rsidR="001E494B">
        <w:rPr>
          <w:rFonts w:ascii="Arial" w:hAnsi="Arial" w:cs="Times New Roman"/>
          <w:sz w:val="20"/>
          <w:szCs w:val="20"/>
        </w:rPr>
        <w:t>11-05-2026</w:t>
      </w:r>
      <w:r>
        <w:rPr>
          <w:rFonts w:ascii="Arial" w:hAnsi="Arial" w:cs="Times New Roman"/>
          <w:sz w:val="20"/>
          <w:szCs w:val="20"/>
        </w:rPr>
        <w:t xml:space="preserve">r.   </w:t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</w:p>
    <w:p w14:paraId="50D59E3A" w14:textId="77777777" w:rsidR="00C765BA" w:rsidRDefault="00000000" w:rsidP="00E46A9D">
      <w:pPr>
        <w:pStyle w:val="Textbody"/>
        <w:tabs>
          <w:tab w:val="left" w:pos="267"/>
        </w:tabs>
        <w:ind w:left="-18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0"/>
          <w:szCs w:val="20"/>
        </w:rPr>
        <w:t xml:space="preserve">Zdjęto z tablicy ogłoszeń: …………..r      </w:t>
      </w:r>
      <w:r>
        <w:rPr>
          <w:rFonts w:ascii="Arial" w:hAnsi="Arial" w:cs="Times New Roman"/>
          <w:sz w:val="22"/>
          <w:szCs w:val="22"/>
        </w:rPr>
        <w:t xml:space="preserve">                                                         </w:t>
      </w:r>
    </w:p>
    <w:p w14:paraId="367E8E0E" w14:textId="77777777" w:rsidR="00D639B8" w:rsidRDefault="00D639B8" w:rsidP="00E46A9D">
      <w:pPr>
        <w:pStyle w:val="Textbody"/>
        <w:tabs>
          <w:tab w:val="left" w:pos="267"/>
        </w:tabs>
        <w:ind w:left="-18"/>
        <w:rPr>
          <w:rFonts w:ascii="Arial" w:hAnsi="Arial" w:cs="Times New Roman"/>
          <w:sz w:val="22"/>
          <w:szCs w:val="22"/>
        </w:rPr>
      </w:pPr>
    </w:p>
    <w:p w14:paraId="63D37E11" w14:textId="4F8692BD" w:rsidR="00D639B8" w:rsidRDefault="00D639B8" w:rsidP="00D639B8">
      <w:pPr>
        <w:pStyle w:val="Textbody"/>
        <w:tabs>
          <w:tab w:val="left" w:pos="267"/>
        </w:tabs>
        <w:rPr>
          <w:rFonts w:ascii="Arial" w:hAnsi="Arial"/>
          <w:sz w:val="22"/>
          <w:szCs w:val="22"/>
        </w:rPr>
        <w:sectPr w:rsidR="00D639B8">
          <w:pgSz w:w="16838" w:h="11906" w:orient="landscape"/>
          <w:pgMar w:top="0" w:right="1418" w:bottom="426" w:left="1418" w:header="0" w:footer="0" w:gutter="0"/>
          <w:cols w:space="708"/>
          <w:formProt w:val="0"/>
          <w:docGrid w:linePitch="600" w:charSpace="32768"/>
        </w:sectPr>
      </w:pPr>
    </w:p>
    <w:p w14:paraId="43984CE9" w14:textId="77D9CE64" w:rsidR="00C765BA" w:rsidRDefault="00C765BA" w:rsidP="00D639B8">
      <w:pPr>
        <w:pStyle w:val="Textbody"/>
        <w:tabs>
          <w:tab w:val="left" w:pos="267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sectPr w:rsidR="00C765B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7C41"/>
    <w:multiLevelType w:val="multilevel"/>
    <w:tmpl w:val="57D27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C2410E"/>
    <w:multiLevelType w:val="multilevel"/>
    <w:tmpl w:val="6EF2BDB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484706">
    <w:abstractNumId w:val="1"/>
  </w:num>
  <w:num w:numId="2" w16cid:durableId="91300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BA"/>
    <w:rsid w:val="0002430B"/>
    <w:rsid w:val="001E494B"/>
    <w:rsid w:val="0032100C"/>
    <w:rsid w:val="00334E4D"/>
    <w:rsid w:val="0034129F"/>
    <w:rsid w:val="00392270"/>
    <w:rsid w:val="00553C2B"/>
    <w:rsid w:val="00611E31"/>
    <w:rsid w:val="00647275"/>
    <w:rsid w:val="007338ED"/>
    <w:rsid w:val="0081213E"/>
    <w:rsid w:val="00814044"/>
    <w:rsid w:val="00954F1C"/>
    <w:rsid w:val="00956B10"/>
    <w:rsid w:val="00966722"/>
    <w:rsid w:val="00BB3917"/>
    <w:rsid w:val="00BC0E80"/>
    <w:rsid w:val="00C108FF"/>
    <w:rsid w:val="00C1556D"/>
    <w:rsid w:val="00C765BA"/>
    <w:rsid w:val="00D639B8"/>
    <w:rsid w:val="00E46A9D"/>
    <w:rsid w:val="00E70590"/>
    <w:rsid w:val="00ED2E80"/>
    <w:rsid w:val="00FD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7D72"/>
  <w15:docId w15:val="{D6AE011D-E194-43CA-B9B9-1790D724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060"/>
    <w:pPr>
      <w:widowControl w:val="0"/>
      <w:textAlignment w:val="baseline"/>
    </w:pPr>
    <w:rPr>
      <w:rFonts w:ascii="Times New Roman" w:eastAsia="Lucida Sans Unicode" w:hAnsi="Times New Roman" w:cs="Mangal"/>
      <w:sz w:val="24"/>
      <w:szCs w:val="24"/>
      <w:lang w:eastAsia="hi-IN" w:bidi="hi-IN"/>
      <w14:ligatures w14:val="none"/>
    </w:rPr>
  </w:style>
  <w:style w:type="paragraph" w:styleId="Nagwek1">
    <w:name w:val="heading 1"/>
    <w:basedOn w:val="Standard"/>
    <w:next w:val="Standard"/>
    <w:link w:val="Nagwek1Znak"/>
    <w:qFormat/>
    <w:rsid w:val="00540BEF"/>
    <w:pPr>
      <w:keepNext/>
      <w:numPr>
        <w:numId w:val="1"/>
      </w:numPr>
      <w:jc w:val="right"/>
      <w:outlineLvl w:val="0"/>
    </w:pPr>
    <w:rPr>
      <w:rFonts w:eastAsia="Lucida Sans Unicode" w:cs="Mangal"/>
      <w:lang w:eastAsia="hi-IN"/>
    </w:rPr>
  </w:style>
  <w:style w:type="paragraph" w:styleId="Nagwek2">
    <w:name w:val="heading 2"/>
    <w:basedOn w:val="Nagwek"/>
    <w:next w:val="Textbody"/>
    <w:link w:val="Nagwek2Znak"/>
    <w:qFormat/>
    <w:rsid w:val="00540BEF"/>
    <w:pPr>
      <w:keepNext/>
      <w:numPr>
        <w:ilvl w:val="1"/>
        <w:numId w:val="1"/>
      </w:numPr>
      <w:tabs>
        <w:tab w:val="clear" w:pos="4536"/>
        <w:tab w:val="clear" w:pos="9072"/>
      </w:tabs>
      <w:spacing w:before="240" w:after="120"/>
      <w:outlineLvl w:val="1"/>
    </w:pPr>
    <w:rPr>
      <w:rFonts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540BEF"/>
    <w:rPr>
      <w:rFonts w:ascii="Times New Roman" w:eastAsia="Lucida Sans Unicode" w:hAnsi="Times New Roman" w:cs="Mangal"/>
      <w:kern w:val="2"/>
      <w:sz w:val="24"/>
      <w:szCs w:val="24"/>
      <w:lang w:eastAsia="hi-I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qFormat/>
    <w:rsid w:val="00540BEF"/>
    <w:rPr>
      <w:rFonts w:ascii="Times New Roman" w:eastAsia="Lucida Sans Unicode" w:hAnsi="Times New Roman" w:cs="Times New Roman"/>
      <w:b/>
      <w:bCs/>
      <w:kern w:val="2"/>
      <w:sz w:val="36"/>
      <w:szCs w:val="36"/>
      <w:lang w:eastAsia="hi-IN" w:bidi="hi-IN"/>
      <w14:ligatures w14:val="none"/>
    </w:rPr>
  </w:style>
  <w:style w:type="character" w:customStyle="1" w:styleId="A0">
    <w:name w:val="A0"/>
    <w:qFormat/>
    <w:rsid w:val="00540BEF"/>
    <w:rPr>
      <w:rFonts w:ascii="Trebuchet MS" w:eastAsia="Trebuchet MS" w:hAnsi="Trebuchet MS" w:cs="Trebuchet MS"/>
      <w:color w:val="00000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540BEF"/>
    <w:rPr>
      <w:rFonts w:ascii="Times New Roman" w:eastAsia="Lucida Sans Unicode" w:hAnsi="Times New Roman" w:cs="Mangal"/>
      <w:kern w:val="2"/>
      <w:sz w:val="24"/>
      <w:szCs w:val="21"/>
      <w:lang w:eastAsia="hi-IN" w:bidi="hi-IN"/>
      <w14:ligatures w14:val="none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540BEF"/>
    <w:pPr>
      <w:tabs>
        <w:tab w:val="center" w:pos="4536"/>
        <w:tab w:val="right" w:pos="9072"/>
      </w:tabs>
    </w:pPr>
    <w:rPr>
      <w:szCs w:val="21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Standard">
    <w:name w:val="Standard"/>
    <w:qFormat/>
    <w:rsid w:val="00A434FA"/>
    <w:pPr>
      <w:widowControl w:val="0"/>
      <w:textAlignment w:val="baseline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B07060"/>
    <w:pPr>
      <w:spacing w:after="120"/>
    </w:pPr>
    <w:rPr>
      <w:rFonts w:eastAsia="Lucida Sans Unicode" w:cs="Mangal"/>
      <w:lang w:eastAsia="hi-IN"/>
    </w:rPr>
  </w:style>
  <w:style w:type="paragraph" w:customStyle="1" w:styleId="Zawartotabeliuser">
    <w:name w:val="Zawartość tabeli (user)"/>
    <w:basedOn w:val="Standard"/>
    <w:qFormat/>
    <w:rsid w:val="00540BEF"/>
    <w:pPr>
      <w:suppressLineNumbers/>
    </w:pPr>
    <w:rPr>
      <w:rFonts w:eastAsia="Lucida Sans Unicode" w:cs="Mangal"/>
      <w:lang w:eastAsia="hi-IN"/>
    </w:rPr>
  </w:style>
  <w:style w:type="paragraph" w:customStyle="1" w:styleId="Tekstpodstawowy21">
    <w:name w:val="Tekst podstawowy 21"/>
    <w:basedOn w:val="Standard"/>
    <w:qFormat/>
    <w:rsid w:val="00540BEF"/>
    <w:pPr>
      <w:jc w:val="center"/>
    </w:pPr>
    <w:rPr>
      <w:rFonts w:eastAsia="Lucida Sans Unicode" w:cs="Mangal"/>
      <w:lang w:eastAsia="hi-IN"/>
    </w:rPr>
  </w:style>
  <w:style w:type="paragraph" w:customStyle="1" w:styleId="Textbodyindent">
    <w:name w:val="Text body indent"/>
    <w:basedOn w:val="Standard"/>
    <w:qFormat/>
    <w:rsid w:val="00540BEF"/>
    <w:pPr>
      <w:jc w:val="center"/>
    </w:pPr>
    <w:rPr>
      <w:rFonts w:eastAsia="Lucida Sans Unicode" w:cs="Mangal"/>
      <w:lang w:eastAsia="hi-I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dc:description/>
  <cp:lastModifiedBy>Ola Szymańczyk</cp:lastModifiedBy>
  <cp:revision>49</cp:revision>
  <cp:lastPrinted>2026-05-11T07:40:00Z</cp:lastPrinted>
  <dcterms:created xsi:type="dcterms:W3CDTF">2025-07-14T08:21:00Z</dcterms:created>
  <dcterms:modified xsi:type="dcterms:W3CDTF">2026-05-11T07:40:00Z</dcterms:modified>
  <dc:language>pl-PL</dc:language>
</cp:coreProperties>
</file>